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B6664B">
      <w:pPr>
        <w:spacing w:line="600" w:lineRule="exact"/>
        <w:ind w:firstLine="640" w:firstLineChars="200"/>
        <w:rPr>
          <w:rFonts w:hint="eastAsia" w:ascii="黑体" w:hAnsi="黑体" w:eastAsia="黑体" w:cs="黑体"/>
          <w:sz w:val="32"/>
          <w:szCs w:val="32"/>
        </w:rPr>
      </w:pPr>
    </w:p>
    <w:p w14:paraId="66D9D559">
      <w:pPr>
        <w:spacing w:line="480" w:lineRule="exact"/>
        <w:rPr>
          <w:rFonts w:ascii="方正小标宋简体" w:eastAsia="方正小标宋简体"/>
          <w:sz w:val="36"/>
          <w:szCs w:val="36"/>
        </w:rPr>
      </w:pPr>
      <w:r>
        <w:rPr>
          <w:rFonts w:hint="eastAsia" w:ascii="黑体" w:hAnsi="黑体" w:eastAsia="黑体"/>
          <w:sz w:val="32"/>
          <w:szCs w:val="32"/>
        </w:rPr>
        <w:t>附件</w:t>
      </w:r>
      <w:r>
        <w:rPr>
          <w:rFonts w:hint="eastAsia" w:ascii="黑体" w:hAnsi="黑体" w:eastAsia="黑体"/>
          <w:sz w:val="32"/>
          <w:szCs w:val="32"/>
          <w:lang w:val="en-US" w:eastAsia="zh-CN"/>
        </w:rPr>
        <w:t>1</w:t>
      </w:r>
    </w:p>
    <w:p w14:paraId="6D23541F">
      <w:pPr>
        <w:spacing w:line="560" w:lineRule="exact"/>
        <w:jc w:val="center"/>
        <w:rPr>
          <w:rFonts w:ascii="方正小标宋简体" w:eastAsia="方正小标宋简体"/>
          <w:sz w:val="36"/>
          <w:szCs w:val="36"/>
        </w:rPr>
      </w:pPr>
      <w:r>
        <w:rPr>
          <w:rFonts w:hint="eastAsia" w:ascii="方正小标宋简体" w:hAnsi="方正小标宋简体" w:eastAsia="方正小标宋简体" w:cs="方正小标宋简体"/>
          <w:b w:val="0"/>
          <w:bCs w:val="0"/>
          <w:sz w:val="44"/>
          <w:szCs w:val="44"/>
        </w:rPr>
        <w:t>朝阳区妇联</w:t>
      </w:r>
      <w:r>
        <w:rPr>
          <w:rFonts w:hint="eastAsia" w:ascii="Times New Roman" w:hAnsi="Times New Roman" w:eastAsia="方正小标宋简体" w:cs="方正小标宋简体"/>
          <w:b w:val="0"/>
          <w:bCs w:val="0"/>
          <w:sz w:val="44"/>
          <w:szCs w:val="44"/>
        </w:rPr>
        <w:t>2</w:t>
      </w:r>
      <w:r>
        <w:rPr>
          <w:rFonts w:ascii="Times New Roman" w:hAnsi="Times New Roman" w:eastAsia="方正小标宋简体" w:cs="方正小标宋简体"/>
          <w:b w:val="0"/>
          <w:bCs w:val="0"/>
          <w:sz w:val="44"/>
          <w:szCs w:val="44"/>
        </w:rPr>
        <w:t>02</w:t>
      </w:r>
      <w:r>
        <w:rPr>
          <w:rFonts w:hint="eastAsia" w:eastAsia="方正小标宋简体" w:cs="方正小标宋简体"/>
          <w:b w:val="0"/>
          <w:bCs w:val="0"/>
          <w:sz w:val="44"/>
          <w:szCs w:val="44"/>
          <w:lang w:val="en-US" w:eastAsia="zh-CN"/>
        </w:rPr>
        <w:t>4</w:t>
      </w:r>
      <w:r>
        <w:rPr>
          <w:rFonts w:hint="eastAsia" w:ascii="方正小标宋简体" w:hAnsi="方正小标宋简体" w:eastAsia="方正小标宋简体" w:cs="方正小标宋简体"/>
          <w:b w:val="0"/>
          <w:bCs w:val="0"/>
          <w:sz w:val="44"/>
          <w:szCs w:val="44"/>
        </w:rPr>
        <w:t>年整体支出绩效评价报告</w:t>
      </w:r>
    </w:p>
    <w:p w14:paraId="0BF6207F">
      <w:pPr>
        <w:jc w:val="center"/>
        <w:rPr>
          <w:rFonts w:ascii="仿宋_GB2312"/>
          <w:szCs w:val="30"/>
        </w:rPr>
      </w:pPr>
    </w:p>
    <w:p w14:paraId="51E63F38">
      <w:pPr>
        <w:spacing w:line="240" w:lineRule="auto"/>
        <w:rPr>
          <w:rFonts w:hint="eastAsia" w:ascii="黑体" w:hAnsi="黑体" w:eastAsia="黑体" w:cs="宋体"/>
          <w:color w:val="000000"/>
          <w:kern w:val="0"/>
          <w:sz w:val="32"/>
          <w:szCs w:val="32"/>
        </w:rPr>
      </w:pPr>
    </w:p>
    <w:p w14:paraId="5B08D944">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14:paraId="29E78343">
      <w:pPr>
        <w:keepNext w:val="0"/>
        <w:keepLines w:val="0"/>
        <w:pageBreakBefore w:val="0"/>
        <w:widowControl w:val="0"/>
        <w:kinsoku/>
        <w:wordWrap/>
        <w:overflowPunct/>
        <w:topLinePunct w:val="0"/>
        <w:autoSpaceDE/>
        <w:autoSpaceDN/>
        <w:bidi w:val="0"/>
        <w:adjustRightInd/>
        <w:snapToGrid/>
        <w:spacing w:line="560" w:lineRule="exact"/>
        <w:ind w:right="0" w:rightChars="0" w:firstLine="555"/>
        <w:textAlignment w:val="auto"/>
        <w:rPr>
          <w:rFonts w:hint="eastAsia" w:ascii="Times New Roman" w:hAnsi="Times New Roman" w:eastAsia="方正仿宋_GB2312" w:cs="Times New Roman"/>
          <w:bCs/>
          <w:sz w:val="32"/>
          <w:szCs w:val="32"/>
          <w:lang w:val="en-US" w:eastAsia="zh-CN"/>
        </w:rPr>
      </w:pPr>
      <w:r>
        <w:rPr>
          <w:rFonts w:hint="eastAsia" w:ascii="Times New Roman" w:hAnsi="Times New Roman" w:eastAsia="方正仿宋_GB2312" w:cs="Times New Roman"/>
          <w:bCs/>
          <w:sz w:val="32"/>
          <w:szCs w:val="32"/>
          <w:lang w:val="en-US" w:eastAsia="zh-CN"/>
        </w:rPr>
        <w:t>（一）机构设置及职责工作任务情况</w:t>
      </w:r>
    </w:p>
    <w:p w14:paraId="14D7169A">
      <w:pPr>
        <w:keepNext w:val="0"/>
        <w:keepLines w:val="0"/>
        <w:pageBreakBefore w:val="0"/>
        <w:widowControl w:val="0"/>
        <w:kinsoku/>
        <w:wordWrap/>
        <w:overflowPunct/>
        <w:topLinePunct w:val="0"/>
        <w:autoSpaceDE/>
        <w:autoSpaceDN/>
        <w:bidi w:val="0"/>
        <w:adjustRightInd/>
        <w:snapToGrid/>
        <w:spacing w:line="560" w:lineRule="exact"/>
        <w:ind w:right="0" w:rightChars="0" w:firstLine="555"/>
        <w:textAlignment w:val="auto"/>
        <w:rPr>
          <w:rFonts w:hint="eastAsia" w:ascii="Times New Roman" w:hAnsi="Times New Roman" w:eastAsia="方正仿宋_GB2312" w:cs="Times New Roman"/>
          <w:bCs/>
          <w:sz w:val="32"/>
          <w:szCs w:val="32"/>
          <w:lang w:val="en-US" w:eastAsia="zh-CN"/>
        </w:rPr>
      </w:pPr>
      <w:r>
        <w:rPr>
          <w:rFonts w:hint="eastAsia" w:ascii="Times New Roman" w:hAnsi="Times New Roman" w:eastAsia="方正仿宋_GB2312" w:cs="Times New Roman"/>
          <w:bCs/>
          <w:sz w:val="32"/>
          <w:szCs w:val="32"/>
          <w:lang w:val="en-US" w:eastAsia="zh-CN"/>
        </w:rPr>
        <w:t>1.科室设置情况</w:t>
      </w:r>
    </w:p>
    <w:p w14:paraId="2BF97BC0">
      <w:pPr>
        <w:keepNext w:val="0"/>
        <w:keepLines w:val="0"/>
        <w:pageBreakBefore w:val="0"/>
        <w:widowControl w:val="0"/>
        <w:kinsoku/>
        <w:wordWrap/>
        <w:overflowPunct/>
        <w:topLinePunct w:val="0"/>
        <w:autoSpaceDE/>
        <w:autoSpaceDN/>
        <w:bidi w:val="0"/>
        <w:adjustRightInd/>
        <w:snapToGrid/>
        <w:spacing w:line="560" w:lineRule="exact"/>
        <w:ind w:right="0" w:rightChars="0" w:firstLine="555"/>
        <w:textAlignment w:val="auto"/>
        <w:rPr>
          <w:rFonts w:hint="default" w:ascii="Times New Roman" w:hAnsi="Times New Roman" w:eastAsia="方正仿宋_GB2312" w:cs="Times New Roman"/>
          <w:bCs/>
          <w:sz w:val="32"/>
          <w:szCs w:val="32"/>
        </w:rPr>
      </w:pPr>
      <w:r>
        <w:rPr>
          <w:rFonts w:hint="default" w:ascii="Times New Roman" w:hAnsi="Times New Roman" w:eastAsia="方正仿宋_GB2312" w:cs="Times New Roman"/>
          <w:bCs/>
          <w:sz w:val="32"/>
          <w:szCs w:val="32"/>
        </w:rPr>
        <w:t>朝阳区妇女联合会机关现设3个部室、1个中心、1个议事协调机构，即：办公室、权益部、组织发展部、朝阳区妇女发展服务中心（事业单位）、妇儿工委办公室（内设科室），各部室工作职责如下：</w:t>
      </w:r>
    </w:p>
    <w:p w14:paraId="33199982">
      <w:pPr>
        <w:keepNext w:val="0"/>
        <w:keepLines w:val="0"/>
        <w:pageBreakBefore w:val="0"/>
        <w:widowControl w:val="0"/>
        <w:kinsoku/>
        <w:wordWrap/>
        <w:overflowPunct/>
        <w:topLinePunct w:val="0"/>
        <w:autoSpaceDE/>
        <w:autoSpaceDN/>
        <w:bidi w:val="0"/>
        <w:adjustRightInd/>
        <w:snapToGrid/>
        <w:spacing w:line="560" w:lineRule="exact"/>
        <w:ind w:right="0" w:rightChars="0" w:firstLine="555"/>
        <w:textAlignment w:val="auto"/>
        <w:rPr>
          <w:rFonts w:hint="eastAsia" w:ascii="Times New Roman" w:hAnsi="Times New Roman" w:eastAsia="方正仿宋_GB2312" w:cs="Times New Roman"/>
          <w:bCs/>
          <w:sz w:val="32"/>
          <w:szCs w:val="32"/>
          <w:lang w:val="en-US" w:eastAsia="zh-CN"/>
        </w:rPr>
      </w:pPr>
      <w:r>
        <w:rPr>
          <w:rFonts w:hint="eastAsia" w:ascii="Times New Roman" w:hAnsi="Times New Roman" w:eastAsia="方正仿宋_GB2312" w:cs="Times New Roman"/>
          <w:bCs/>
          <w:sz w:val="32"/>
          <w:szCs w:val="32"/>
          <w:lang w:val="en-US" w:eastAsia="zh-CN"/>
        </w:rPr>
        <w:t xml:space="preserve">（1）办公室  </w:t>
      </w:r>
    </w:p>
    <w:p w14:paraId="41C49D50">
      <w:pPr>
        <w:keepNext w:val="0"/>
        <w:keepLines w:val="0"/>
        <w:pageBreakBefore w:val="0"/>
        <w:widowControl w:val="0"/>
        <w:kinsoku/>
        <w:wordWrap/>
        <w:overflowPunct/>
        <w:topLinePunct w:val="0"/>
        <w:autoSpaceDE/>
        <w:autoSpaceDN/>
        <w:bidi w:val="0"/>
        <w:adjustRightInd/>
        <w:snapToGrid/>
        <w:spacing w:line="560" w:lineRule="exact"/>
        <w:ind w:right="0" w:rightChars="0" w:firstLine="555"/>
        <w:textAlignment w:val="auto"/>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负责全会主要文件起草和调查研究工作；负责文件收发、传阅、保密工作；负责党建工作、组织人事工作、老干部、安全保卫工作；负责对外宣传报道工作；负责全会的大型会议和活动的统筹和组织工作。</w:t>
      </w:r>
    </w:p>
    <w:p w14:paraId="2C366E40">
      <w:pPr>
        <w:keepNext w:val="0"/>
        <w:keepLines w:val="0"/>
        <w:pageBreakBefore w:val="0"/>
        <w:widowControl w:val="0"/>
        <w:kinsoku/>
        <w:wordWrap/>
        <w:overflowPunct/>
        <w:topLinePunct w:val="0"/>
        <w:autoSpaceDE/>
        <w:autoSpaceDN/>
        <w:bidi w:val="0"/>
        <w:adjustRightInd/>
        <w:snapToGrid/>
        <w:spacing w:line="560" w:lineRule="exact"/>
        <w:ind w:right="0" w:rightChars="0" w:firstLine="555"/>
        <w:textAlignment w:val="auto"/>
        <w:rPr>
          <w:rFonts w:hint="eastAsia" w:ascii="Times New Roman" w:hAnsi="Times New Roman" w:eastAsia="方正仿宋_GB2312" w:cs="Times New Roman"/>
          <w:bCs/>
          <w:sz w:val="32"/>
          <w:szCs w:val="32"/>
          <w:lang w:val="en-US" w:eastAsia="zh-CN"/>
        </w:rPr>
      </w:pPr>
      <w:r>
        <w:rPr>
          <w:rFonts w:hint="eastAsia" w:ascii="Times New Roman" w:hAnsi="Times New Roman" w:eastAsia="方正仿宋_GB2312" w:cs="Times New Roman"/>
          <w:bCs/>
          <w:sz w:val="32"/>
          <w:szCs w:val="32"/>
          <w:lang w:val="en-US" w:eastAsia="zh-CN"/>
        </w:rPr>
        <w:t xml:space="preserve">（2）权益部 </w:t>
      </w:r>
    </w:p>
    <w:p w14:paraId="4F2F3879">
      <w:pPr>
        <w:keepNext w:val="0"/>
        <w:keepLines w:val="0"/>
        <w:pageBreakBefore w:val="0"/>
        <w:widowControl w:val="0"/>
        <w:kinsoku/>
        <w:wordWrap/>
        <w:overflowPunct/>
        <w:topLinePunct w:val="0"/>
        <w:autoSpaceDE/>
        <w:autoSpaceDN/>
        <w:bidi w:val="0"/>
        <w:adjustRightInd/>
        <w:snapToGrid/>
        <w:spacing w:line="560" w:lineRule="exact"/>
        <w:ind w:right="0" w:rightChars="0" w:firstLine="555"/>
        <w:textAlignment w:val="auto"/>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宣传推动和监督执行有关维护妇女权益方面的法律、法</w:t>
      </w:r>
      <w:bookmarkStart w:id="0" w:name="_GoBack"/>
      <w:r>
        <w:rPr>
          <w:rFonts w:hint="eastAsia" w:ascii="方正仿宋_GB2312" w:hAnsi="方正仿宋_GB2312" w:eastAsia="方正仿宋_GB2312" w:cs="方正仿宋_GB2312"/>
          <w:bCs/>
          <w:sz w:val="32"/>
          <w:szCs w:val="32"/>
        </w:rPr>
        <w:t>规；负责办理群众来信、接待群众来访和法律咨询热线电话</w:t>
      </w:r>
      <w:bookmarkEnd w:id="0"/>
      <w:r>
        <w:rPr>
          <w:rFonts w:hint="eastAsia" w:ascii="方正仿宋_GB2312" w:hAnsi="方正仿宋_GB2312" w:eastAsia="方正仿宋_GB2312" w:cs="方正仿宋_GB2312"/>
          <w:bCs/>
          <w:sz w:val="32"/>
          <w:szCs w:val="32"/>
        </w:rPr>
        <w:t>业务；负责妇联系统的普法宣传教育工作；负责家庭建设工作；负责扶贫和对口支援工作。</w:t>
      </w:r>
    </w:p>
    <w:p w14:paraId="6B5E4732">
      <w:pPr>
        <w:keepNext w:val="0"/>
        <w:keepLines w:val="0"/>
        <w:pageBreakBefore w:val="0"/>
        <w:widowControl w:val="0"/>
        <w:kinsoku/>
        <w:wordWrap/>
        <w:overflowPunct/>
        <w:topLinePunct w:val="0"/>
        <w:autoSpaceDE/>
        <w:autoSpaceDN/>
        <w:bidi w:val="0"/>
        <w:adjustRightInd/>
        <w:snapToGrid/>
        <w:spacing w:line="560" w:lineRule="exact"/>
        <w:ind w:right="0" w:rightChars="0" w:firstLine="555"/>
        <w:textAlignment w:val="auto"/>
        <w:rPr>
          <w:rFonts w:hint="eastAsia" w:ascii="Times New Roman" w:hAnsi="Times New Roman" w:eastAsia="方正仿宋_GB2312" w:cs="Times New Roman"/>
          <w:bCs/>
          <w:sz w:val="32"/>
          <w:szCs w:val="32"/>
          <w:lang w:val="en-US" w:eastAsia="zh-CN"/>
        </w:rPr>
      </w:pPr>
      <w:r>
        <w:rPr>
          <w:rFonts w:hint="eastAsia" w:ascii="Times New Roman" w:hAnsi="Times New Roman" w:eastAsia="方正仿宋_GB2312" w:cs="Times New Roman"/>
          <w:bCs/>
          <w:sz w:val="32"/>
          <w:szCs w:val="32"/>
          <w:lang w:val="en-US" w:eastAsia="zh-CN"/>
        </w:rPr>
        <w:t xml:space="preserve">（3）组织发展部  </w:t>
      </w:r>
    </w:p>
    <w:p w14:paraId="61286693">
      <w:pPr>
        <w:keepNext w:val="0"/>
        <w:keepLines w:val="0"/>
        <w:pageBreakBefore w:val="0"/>
        <w:widowControl w:val="0"/>
        <w:kinsoku/>
        <w:wordWrap/>
        <w:overflowPunct/>
        <w:topLinePunct w:val="0"/>
        <w:autoSpaceDE/>
        <w:autoSpaceDN/>
        <w:bidi w:val="0"/>
        <w:adjustRightInd/>
        <w:snapToGrid/>
        <w:spacing w:line="560" w:lineRule="exact"/>
        <w:ind w:right="0" w:rightChars="0" w:firstLine="555"/>
        <w:textAlignment w:val="auto"/>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 xml:space="preserve">负责区域化妇联组织建设工作；负责女领导干部和妇女代表等方面的工作；负责“三八”红旗集体、“三八”红旗奖章等先进典型的评选工作。  </w:t>
      </w:r>
    </w:p>
    <w:p w14:paraId="7CD5DA67">
      <w:pPr>
        <w:keepNext w:val="0"/>
        <w:keepLines w:val="0"/>
        <w:pageBreakBefore w:val="0"/>
        <w:widowControl w:val="0"/>
        <w:kinsoku/>
        <w:wordWrap/>
        <w:overflowPunct/>
        <w:topLinePunct w:val="0"/>
        <w:autoSpaceDE/>
        <w:autoSpaceDN/>
        <w:bidi w:val="0"/>
        <w:adjustRightInd/>
        <w:snapToGrid/>
        <w:spacing w:line="560" w:lineRule="exact"/>
        <w:ind w:right="0" w:rightChars="0" w:firstLine="555"/>
        <w:textAlignment w:val="auto"/>
        <w:rPr>
          <w:rFonts w:hint="eastAsia" w:ascii="Times New Roman" w:hAnsi="Times New Roman" w:eastAsia="方正仿宋_GB2312" w:cs="Times New Roman"/>
          <w:bCs/>
          <w:sz w:val="32"/>
          <w:szCs w:val="32"/>
          <w:lang w:val="en-US" w:eastAsia="zh-CN"/>
        </w:rPr>
      </w:pPr>
      <w:r>
        <w:rPr>
          <w:rFonts w:hint="eastAsia" w:ascii="Times New Roman" w:hAnsi="Times New Roman" w:eastAsia="方正仿宋_GB2312" w:cs="Times New Roman"/>
          <w:bCs/>
          <w:sz w:val="32"/>
          <w:szCs w:val="32"/>
          <w:lang w:val="en-US" w:eastAsia="zh-CN"/>
        </w:rPr>
        <w:t>（4）妇女发展服务中心（事业单位）</w:t>
      </w:r>
    </w:p>
    <w:p w14:paraId="3FA40E01">
      <w:pPr>
        <w:keepNext w:val="0"/>
        <w:keepLines w:val="0"/>
        <w:pageBreakBefore w:val="0"/>
        <w:widowControl w:val="0"/>
        <w:kinsoku/>
        <w:wordWrap/>
        <w:overflowPunct/>
        <w:topLinePunct w:val="0"/>
        <w:autoSpaceDE/>
        <w:autoSpaceDN/>
        <w:bidi w:val="0"/>
        <w:adjustRightInd/>
        <w:snapToGrid/>
        <w:spacing w:line="560" w:lineRule="exact"/>
        <w:ind w:right="0" w:rightChars="0" w:firstLine="555"/>
        <w:textAlignment w:val="auto"/>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负责协调妇联系统“枢纽型”社会组织建设工作；负责业务主管的社会组织的日常管理和服务工作；负责未成年人思想道德建设工作和儿童工作；负责志愿服务工作。</w:t>
      </w:r>
    </w:p>
    <w:p w14:paraId="347D3DDB">
      <w:pPr>
        <w:keepNext w:val="0"/>
        <w:keepLines w:val="0"/>
        <w:pageBreakBefore w:val="0"/>
        <w:widowControl w:val="0"/>
        <w:kinsoku/>
        <w:wordWrap/>
        <w:overflowPunct/>
        <w:topLinePunct w:val="0"/>
        <w:autoSpaceDE/>
        <w:autoSpaceDN/>
        <w:bidi w:val="0"/>
        <w:adjustRightInd/>
        <w:snapToGrid/>
        <w:spacing w:line="560" w:lineRule="exact"/>
        <w:ind w:right="0" w:rightChars="0" w:firstLine="555"/>
        <w:textAlignment w:val="auto"/>
        <w:rPr>
          <w:rFonts w:hint="eastAsia" w:ascii="Times New Roman" w:hAnsi="Times New Roman" w:eastAsia="方正仿宋_GB2312" w:cs="Times New Roman"/>
          <w:bCs/>
          <w:sz w:val="32"/>
          <w:szCs w:val="32"/>
          <w:lang w:val="en-US" w:eastAsia="zh-CN"/>
        </w:rPr>
      </w:pPr>
      <w:r>
        <w:rPr>
          <w:rFonts w:hint="eastAsia" w:ascii="Times New Roman" w:hAnsi="Times New Roman" w:eastAsia="方正仿宋_GB2312" w:cs="Times New Roman"/>
          <w:bCs/>
          <w:sz w:val="32"/>
          <w:szCs w:val="32"/>
          <w:lang w:val="en-US" w:eastAsia="zh-CN"/>
        </w:rPr>
        <w:t>（5）妇儿工委办公室</w:t>
      </w:r>
    </w:p>
    <w:p w14:paraId="42A311D0">
      <w:pPr>
        <w:keepNext w:val="0"/>
        <w:keepLines w:val="0"/>
        <w:pageBreakBefore w:val="0"/>
        <w:widowControl w:val="0"/>
        <w:kinsoku/>
        <w:wordWrap/>
        <w:overflowPunct/>
        <w:topLinePunct w:val="0"/>
        <w:autoSpaceDE/>
        <w:autoSpaceDN/>
        <w:bidi w:val="0"/>
        <w:adjustRightInd/>
        <w:snapToGrid/>
        <w:spacing w:line="560" w:lineRule="exact"/>
        <w:ind w:right="0" w:rightChars="0" w:firstLine="555"/>
        <w:textAlignment w:val="auto"/>
        <w:rPr>
          <w:rFonts w:eastAsia="楷体_GB2312"/>
          <w:sz w:val="32"/>
          <w:szCs w:val="32"/>
        </w:rPr>
      </w:pPr>
      <w:r>
        <w:rPr>
          <w:rFonts w:hint="eastAsia" w:ascii="方正仿宋_GB2312" w:hAnsi="方正仿宋_GB2312" w:eastAsia="方正仿宋_GB2312" w:cs="方正仿宋_GB2312"/>
          <w:bCs/>
          <w:sz w:val="32"/>
          <w:szCs w:val="32"/>
        </w:rPr>
        <w:t>负责朝阳区妇女和儿童发展规划的起草制定、组织实施、评估督导、检测验收工作；指导街乡妇儿工委开展工作。</w:t>
      </w:r>
    </w:p>
    <w:p w14:paraId="37AA324C">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eastAsia="方正仿宋_GB2312" w:cs="Times New Roman"/>
          <w:b w:val="0"/>
          <w:bCs/>
          <w:kern w:val="2"/>
          <w:sz w:val="32"/>
          <w:szCs w:val="32"/>
          <w:lang w:val="en-US" w:eastAsia="zh-CN" w:bidi="ar-SA"/>
        </w:rPr>
        <w:t>2</w:t>
      </w:r>
      <w:r>
        <w:rPr>
          <w:rFonts w:hint="eastAsia" w:ascii="Times New Roman" w:hAnsi="Times New Roman" w:eastAsia="方正仿宋_GB2312" w:cs="Times New Roman"/>
          <w:b w:val="0"/>
          <w:bCs/>
          <w:kern w:val="2"/>
          <w:sz w:val="32"/>
          <w:szCs w:val="32"/>
          <w:lang w:val="en-US" w:eastAsia="zh-CN" w:bidi="ar-SA"/>
        </w:rPr>
        <w:t>.部门职能情况</w:t>
      </w:r>
    </w:p>
    <w:p w14:paraId="4DB57B32">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楷体_GB2312" w:eastAsia="楷体_GB2312"/>
          <w:sz w:val="32"/>
          <w:szCs w:val="32"/>
        </w:rPr>
      </w:pPr>
      <w:r>
        <w:rPr>
          <w:rFonts w:hint="eastAsia" w:ascii="方正仿宋_GB2312" w:hAnsi="方正仿宋_GB2312" w:eastAsia="方正仿宋_GB2312" w:cs="方正仿宋_GB2312"/>
          <w:bCs/>
          <w:sz w:val="32"/>
          <w:szCs w:val="32"/>
        </w:rPr>
        <w:t>朝阳区妇女联合会是朝阳区各族各界妇女的群众团体组织，是党和政府联系妇女群众的桥梁和纽带，主要工作职责是在市妇联、朝阳区委区政府的坚强领导下，坚持以习近平新时代中国特色社会主义思想为指导，推动男女平等基本国策贯彻落实，促进妇女发展，维护妇女儿童权益，团结教育全区各族各界妇女以及各类妇女组织贯彻执行国家有关方针、政策、法律、法规及有关规定，同党中央在思想上、政治上、行动上保持高度一致，团结引领广大妇女群众和家庭听党话，跟党走，紧扣区委、区政府中心工作，团结、动员全区妇女群众投身经济社会发展，为朝阳区的发展贡献巾帼力量。</w:t>
      </w:r>
    </w:p>
    <w:p w14:paraId="625A25CD">
      <w:pPr>
        <w:keepNext w:val="0"/>
        <w:keepLines w:val="0"/>
        <w:pageBreakBefore w:val="0"/>
        <w:widowControl w:val="0"/>
        <w:kinsoku/>
        <w:wordWrap/>
        <w:overflowPunct/>
        <w:topLinePunct w:val="0"/>
        <w:autoSpaceDE/>
        <w:autoSpaceDN/>
        <w:bidi w:val="0"/>
        <w:adjustRightInd/>
        <w:snapToGrid/>
        <w:spacing w:line="560" w:lineRule="exact"/>
        <w:ind w:right="0" w:rightChars="0" w:firstLine="555"/>
        <w:textAlignment w:val="auto"/>
        <w:rPr>
          <w:rFonts w:hint="eastAsia" w:ascii="Times New Roman" w:hAnsi="Times New Roman" w:eastAsia="方正仿宋_GB2312" w:cs="Times New Roman"/>
          <w:bCs/>
          <w:sz w:val="32"/>
          <w:szCs w:val="32"/>
        </w:rPr>
      </w:pPr>
      <w:r>
        <w:rPr>
          <w:rFonts w:hint="eastAsia" w:ascii="Times New Roman" w:hAnsi="Times New Roman" w:eastAsia="方正仿宋_GB2312" w:cs="Times New Roman"/>
          <w:bCs/>
          <w:sz w:val="32"/>
          <w:szCs w:val="32"/>
          <w:lang w:val="en-US" w:eastAsia="zh-CN"/>
        </w:rPr>
        <w:t>（二）</w:t>
      </w:r>
      <w:r>
        <w:rPr>
          <w:rFonts w:hint="eastAsia" w:ascii="Times New Roman" w:hAnsi="Times New Roman" w:eastAsia="方正仿宋_GB2312" w:cs="Times New Roman"/>
          <w:bCs/>
          <w:sz w:val="32"/>
          <w:szCs w:val="32"/>
        </w:rPr>
        <w:t>部门整体绩效目标设立情况</w:t>
      </w:r>
    </w:p>
    <w:p w14:paraId="5B041C3B">
      <w:pPr>
        <w:keepNext w:val="0"/>
        <w:keepLines w:val="0"/>
        <w:pageBreakBefore w:val="0"/>
        <w:widowControl w:val="0"/>
        <w:kinsoku/>
        <w:wordWrap/>
        <w:overflowPunct/>
        <w:topLinePunct w:val="0"/>
        <w:autoSpaceDE/>
        <w:autoSpaceDN/>
        <w:bidi w:val="0"/>
        <w:adjustRightInd/>
        <w:snapToGrid/>
        <w:spacing w:line="560" w:lineRule="exact"/>
        <w:ind w:right="0" w:rightChars="0" w:firstLine="555"/>
        <w:textAlignment w:val="auto"/>
        <w:rPr>
          <w:rFonts w:hint="default" w:ascii="Times New Roman" w:hAnsi="Times New Roman" w:eastAsia="方正仿宋_GB2312" w:cs="Times New Roman"/>
          <w:bCs/>
          <w:sz w:val="32"/>
          <w:szCs w:val="32"/>
        </w:rPr>
      </w:pPr>
      <w:r>
        <w:rPr>
          <w:rFonts w:hint="default" w:ascii="Times New Roman" w:hAnsi="Times New Roman" w:eastAsia="方正仿宋_GB2312" w:cs="Times New Roman"/>
          <w:bCs/>
          <w:sz w:val="32"/>
          <w:szCs w:val="32"/>
        </w:rPr>
        <w:t>1</w:t>
      </w:r>
      <w:r>
        <w:rPr>
          <w:rFonts w:hint="eastAsia" w:ascii="Times New Roman" w:hAnsi="Times New Roman" w:eastAsia="方正仿宋_GB2312" w:cs="Times New Roman"/>
          <w:bCs/>
          <w:sz w:val="32"/>
          <w:szCs w:val="32"/>
        </w:rPr>
        <w:t>.</w:t>
      </w:r>
      <w:r>
        <w:rPr>
          <w:rFonts w:hint="default" w:ascii="Times New Roman" w:hAnsi="Times New Roman" w:eastAsia="方正仿宋_GB2312" w:cs="Times New Roman"/>
          <w:bCs/>
          <w:sz w:val="32"/>
          <w:szCs w:val="32"/>
        </w:rPr>
        <w:t>基本支出方面，</w:t>
      </w:r>
      <w:r>
        <w:rPr>
          <w:rFonts w:hint="default" w:ascii="Times New Roman" w:hAnsi="Times New Roman" w:eastAsia="方正仿宋_GB2312" w:cs="Times New Roman"/>
          <w:bCs/>
          <w:sz w:val="32"/>
          <w:szCs w:val="32"/>
          <w:lang w:val="zh-CN"/>
        </w:rPr>
        <w:t>确保机关工作人员工资按时发放，社会保障按时足额缴费，机关办公正常运转。</w:t>
      </w:r>
    </w:p>
    <w:p w14:paraId="140D8045">
      <w:pPr>
        <w:keepNext w:val="0"/>
        <w:keepLines w:val="0"/>
        <w:pageBreakBefore w:val="0"/>
        <w:widowControl w:val="0"/>
        <w:kinsoku/>
        <w:wordWrap/>
        <w:overflowPunct/>
        <w:topLinePunct w:val="0"/>
        <w:autoSpaceDE/>
        <w:autoSpaceDN/>
        <w:bidi w:val="0"/>
        <w:adjustRightInd/>
        <w:snapToGrid/>
        <w:spacing w:line="560" w:lineRule="exact"/>
        <w:ind w:right="0" w:rightChars="0" w:firstLine="555"/>
        <w:textAlignment w:val="auto"/>
        <w:rPr>
          <w:rFonts w:hint="eastAsia" w:ascii="Times New Roman" w:hAnsi="Times New Roman" w:eastAsia="方正仿宋_GB2312" w:cs="Times New Roman"/>
          <w:bCs/>
          <w:sz w:val="32"/>
          <w:szCs w:val="32"/>
          <w:lang w:eastAsia="zh-CN"/>
        </w:rPr>
      </w:pPr>
      <w:r>
        <w:rPr>
          <w:rFonts w:hint="default" w:ascii="Times New Roman" w:hAnsi="Times New Roman" w:eastAsia="方正仿宋_GB2312" w:cs="Times New Roman"/>
          <w:bCs/>
          <w:sz w:val="32"/>
          <w:szCs w:val="32"/>
        </w:rPr>
        <w:t>2</w:t>
      </w:r>
      <w:r>
        <w:rPr>
          <w:rFonts w:hint="eastAsia" w:ascii="Times New Roman" w:hAnsi="Times New Roman" w:eastAsia="方正仿宋_GB2312" w:cs="Times New Roman"/>
          <w:bCs/>
          <w:sz w:val="32"/>
          <w:szCs w:val="32"/>
        </w:rPr>
        <w:t>.</w:t>
      </w:r>
      <w:r>
        <w:rPr>
          <w:rFonts w:hint="default" w:ascii="Times New Roman" w:hAnsi="Times New Roman" w:eastAsia="方正仿宋_GB2312" w:cs="Times New Roman"/>
          <w:bCs/>
          <w:sz w:val="32"/>
          <w:szCs w:val="32"/>
        </w:rPr>
        <w:t>项目支出方面，一是</w:t>
      </w:r>
      <w:r>
        <w:rPr>
          <w:rFonts w:hint="default" w:ascii="Times New Roman" w:hAnsi="Times New Roman" w:eastAsia="方正仿宋_GB2312" w:cs="Times New Roman"/>
          <w:bCs/>
          <w:sz w:val="32"/>
          <w:szCs w:val="32"/>
          <w:lang w:val="en-US" w:eastAsia="zh-CN"/>
        </w:rPr>
        <w:t>“她声音”凝聚朝阳巾帼力量</w:t>
      </w:r>
      <w:r>
        <w:rPr>
          <w:rFonts w:hint="eastAsia" w:ascii="Times New Roman" w:hAnsi="Times New Roman" w:eastAsia="方正仿宋_GB2312" w:cs="Times New Roman"/>
          <w:bCs/>
          <w:sz w:val="32"/>
          <w:szCs w:val="32"/>
          <w:lang w:val="en-US" w:eastAsia="zh-CN"/>
        </w:rPr>
        <w:t>；</w:t>
      </w:r>
      <w:r>
        <w:rPr>
          <w:rFonts w:hint="default" w:ascii="Times New Roman" w:hAnsi="Times New Roman" w:eastAsia="方正仿宋_GB2312" w:cs="Times New Roman"/>
          <w:bCs/>
          <w:sz w:val="32"/>
          <w:szCs w:val="32"/>
        </w:rPr>
        <w:t>二是</w:t>
      </w:r>
      <w:r>
        <w:rPr>
          <w:rFonts w:hint="default" w:ascii="Times New Roman" w:hAnsi="Times New Roman" w:eastAsia="方正仿宋_GB2312" w:cs="Times New Roman"/>
          <w:bCs/>
          <w:sz w:val="32"/>
          <w:szCs w:val="32"/>
          <w:lang w:val="en-US" w:eastAsia="zh-CN"/>
        </w:rPr>
        <w:t>“她建功”助力朝阳现代化实践</w:t>
      </w:r>
      <w:r>
        <w:rPr>
          <w:rFonts w:hint="default" w:ascii="Times New Roman" w:hAnsi="Times New Roman" w:eastAsia="方正仿宋_GB2312" w:cs="Times New Roman"/>
          <w:bCs/>
          <w:sz w:val="32"/>
          <w:szCs w:val="32"/>
        </w:rPr>
        <w:t>；</w:t>
      </w:r>
      <w:r>
        <w:rPr>
          <w:rFonts w:hint="eastAsia" w:ascii="Times New Roman" w:hAnsi="Times New Roman" w:eastAsia="方正仿宋_GB2312" w:cs="Times New Roman"/>
          <w:bCs/>
          <w:sz w:val="32"/>
          <w:szCs w:val="32"/>
        </w:rPr>
        <w:t>三是</w:t>
      </w:r>
      <w:r>
        <w:rPr>
          <w:rFonts w:hint="eastAsia" w:ascii="Times New Roman" w:hAnsi="Times New Roman" w:eastAsia="方正仿宋_GB2312" w:cs="Times New Roman"/>
          <w:bCs/>
          <w:sz w:val="32"/>
          <w:szCs w:val="32"/>
          <w:lang w:val="en-US" w:eastAsia="zh-CN"/>
        </w:rPr>
        <w:t>“她美家”夯实家庭建设根基</w:t>
      </w:r>
      <w:r>
        <w:rPr>
          <w:rFonts w:hint="default" w:ascii="Times New Roman" w:hAnsi="Times New Roman" w:eastAsia="方正仿宋_GB2312" w:cs="Times New Roman"/>
          <w:bCs/>
          <w:sz w:val="32"/>
          <w:szCs w:val="32"/>
        </w:rPr>
        <w:t>；</w:t>
      </w:r>
      <w:r>
        <w:rPr>
          <w:rFonts w:hint="eastAsia" w:ascii="Times New Roman" w:hAnsi="Times New Roman" w:eastAsia="方正仿宋_GB2312" w:cs="Times New Roman"/>
          <w:bCs/>
          <w:sz w:val="32"/>
          <w:szCs w:val="32"/>
        </w:rPr>
        <w:t>四是</w:t>
      </w:r>
      <w:r>
        <w:rPr>
          <w:rFonts w:hint="eastAsia" w:ascii="Times New Roman" w:hAnsi="Times New Roman" w:eastAsia="方正仿宋_GB2312" w:cs="Times New Roman"/>
          <w:bCs/>
          <w:sz w:val="32"/>
          <w:szCs w:val="32"/>
          <w:lang w:val="en-US" w:eastAsia="zh-CN"/>
        </w:rPr>
        <w:t>“她关爱”普惠妇女儿童福祉</w:t>
      </w:r>
      <w:r>
        <w:rPr>
          <w:rFonts w:hint="eastAsia" w:ascii="Times New Roman" w:hAnsi="Times New Roman" w:eastAsia="方正仿宋_GB2312" w:cs="Times New Roman"/>
          <w:bCs/>
          <w:sz w:val="32"/>
          <w:szCs w:val="32"/>
        </w:rPr>
        <w:t>；五</w:t>
      </w:r>
      <w:r>
        <w:rPr>
          <w:rFonts w:hint="default" w:ascii="Times New Roman" w:hAnsi="Times New Roman" w:eastAsia="方正仿宋_GB2312" w:cs="Times New Roman"/>
          <w:bCs/>
          <w:sz w:val="32"/>
          <w:szCs w:val="32"/>
        </w:rPr>
        <w:t>是</w:t>
      </w:r>
      <w:r>
        <w:rPr>
          <w:rFonts w:hint="default" w:ascii="Times New Roman" w:hAnsi="Times New Roman" w:eastAsia="方正仿宋_GB2312" w:cs="Times New Roman"/>
          <w:bCs/>
          <w:sz w:val="32"/>
          <w:szCs w:val="32"/>
          <w:lang w:val="en-US" w:eastAsia="zh-CN"/>
        </w:rPr>
        <w:t>“她创新”激发组织引领活力</w:t>
      </w:r>
      <w:r>
        <w:rPr>
          <w:rFonts w:hint="eastAsia" w:ascii="Times New Roman" w:hAnsi="Times New Roman" w:eastAsia="方正仿宋_GB2312" w:cs="Times New Roman"/>
          <w:bCs/>
          <w:sz w:val="32"/>
          <w:szCs w:val="32"/>
          <w:lang w:eastAsia="zh-CN"/>
        </w:rPr>
        <w:t>。</w:t>
      </w:r>
    </w:p>
    <w:p w14:paraId="7EECD8A3">
      <w:pPr>
        <w:keepNext w:val="0"/>
        <w:keepLines w:val="0"/>
        <w:pageBreakBefore w:val="0"/>
        <w:widowControl w:val="0"/>
        <w:kinsoku/>
        <w:wordWrap/>
        <w:overflowPunct/>
        <w:topLinePunct w:val="0"/>
        <w:autoSpaceDE/>
        <w:autoSpaceDN/>
        <w:bidi w:val="0"/>
        <w:adjustRightInd/>
        <w:snapToGrid/>
        <w:spacing w:line="560" w:lineRule="exact"/>
        <w:ind w:right="0" w:rightChars="0" w:firstLine="555"/>
        <w:textAlignment w:val="auto"/>
      </w:pPr>
      <w:r>
        <w:rPr>
          <w:rFonts w:hint="eastAsia" w:ascii="Times New Roman" w:hAnsi="Times New Roman" w:eastAsia="方正仿宋_GB2312" w:cs="Times New Roman"/>
          <w:bCs/>
          <w:sz w:val="32"/>
          <w:szCs w:val="32"/>
        </w:rPr>
        <w:t>朝阳区妇联绩效目标设定与朝阳区妇联职能职责相符，设定合理。</w:t>
      </w:r>
    </w:p>
    <w:p w14:paraId="12D9303A">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ascii="黑体" w:hAnsi="黑体" w:eastAsia="黑体" w:cs="宋体"/>
          <w:color w:val="000000"/>
          <w:kern w:val="0"/>
          <w:sz w:val="32"/>
          <w:szCs w:val="32"/>
        </w:rPr>
      </w:pPr>
      <w:r>
        <w:rPr>
          <w:rFonts w:hint="eastAsia" w:ascii="黑体" w:hAnsi="黑体" w:eastAsia="黑体" w:cs="宋体"/>
          <w:color w:val="000000"/>
          <w:kern w:val="0"/>
          <w:sz w:val="32"/>
          <w:szCs w:val="32"/>
          <w:lang w:val="en-US" w:eastAsia="zh-CN" w:bidi="ar-SA"/>
        </w:rPr>
        <w:t>二、</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14:paraId="7BD5F57A">
      <w:pPr>
        <w:keepNext w:val="0"/>
        <w:keepLines w:val="0"/>
        <w:pageBreakBefore w:val="0"/>
        <w:widowControl w:val="0"/>
        <w:kinsoku/>
        <w:wordWrap/>
        <w:overflowPunct/>
        <w:topLinePunct w:val="0"/>
        <w:autoSpaceDE/>
        <w:autoSpaceDN/>
        <w:bidi w:val="0"/>
        <w:adjustRightInd/>
        <w:snapToGrid/>
        <w:spacing w:line="560" w:lineRule="exact"/>
        <w:ind w:right="0" w:rightChars="0" w:firstLine="555"/>
        <w:textAlignment w:val="auto"/>
        <w:rPr>
          <w:rFonts w:hint="default" w:ascii="Times New Roman" w:hAnsi="Times New Roman" w:eastAsia="方正仿宋_GB2312" w:cs="Times New Roman"/>
          <w:bCs/>
          <w:sz w:val="32"/>
          <w:szCs w:val="32"/>
        </w:rPr>
      </w:pPr>
      <w:r>
        <w:rPr>
          <w:rFonts w:hint="eastAsia" w:ascii="Times New Roman" w:hAnsi="Times New Roman" w:eastAsia="方正仿宋_GB2312" w:cs="Times New Roman"/>
          <w:bCs/>
          <w:sz w:val="32"/>
          <w:szCs w:val="32"/>
        </w:rPr>
        <w:t>202</w:t>
      </w:r>
      <w:r>
        <w:rPr>
          <w:rFonts w:hint="eastAsia" w:ascii="Times New Roman" w:hAnsi="Times New Roman" w:eastAsia="方正仿宋_GB2312" w:cs="Times New Roman"/>
          <w:bCs/>
          <w:sz w:val="32"/>
          <w:szCs w:val="32"/>
          <w:lang w:val="en-US" w:eastAsia="zh-CN"/>
        </w:rPr>
        <w:t>4</w:t>
      </w:r>
      <w:r>
        <w:rPr>
          <w:rFonts w:hint="eastAsia" w:ascii="Times New Roman" w:hAnsi="Times New Roman" w:eastAsia="方正仿宋_GB2312" w:cs="Times New Roman"/>
          <w:bCs/>
          <w:sz w:val="32"/>
          <w:szCs w:val="32"/>
        </w:rPr>
        <w:t>年全</w:t>
      </w:r>
      <w:r>
        <w:rPr>
          <w:rFonts w:hint="default" w:ascii="Times New Roman" w:hAnsi="Times New Roman" w:eastAsia="方正仿宋_GB2312" w:cs="Times New Roman"/>
          <w:bCs/>
          <w:sz w:val="32"/>
          <w:szCs w:val="32"/>
        </w:rPr>
        <w:t>年</w:t>
      </w:r>
      <w:r>
        <w:rPr>
          <w:rFonts w:hint="eastAsia" w:ascii="Times New Roman" w:hAnsi="Times New Roman" w:eastAsia="方正仿宋_GB2312" w:cs="Times New Roman"/>
          <w:bCs/>
          <w:sz w:val="32"/>
          <w:szCs w:val="32"/>
        </w:rPr>
        <w:t>预算数1516</w:t>
      </w:r>
      <w:r>
        <w:rPr>
          <w:rFonts w:hint="eastAsia" w:ascii="Times New Roman" w:hAnsi="Times New Roman" w:eastAsia="方正仿宋_GB2312" w:cs="Times New Roman"/>
          <w:bCs/>
          <w:sz w:val="32"/>
          <w:szCs w:val="32"/>
          <w:lang w:val="en-US" w:eastAsia="zh-CN"/>
        </w:rPr>
        <w:t>.</w:t>
      </w:r>
      <w:r>
        <w:rPr>
          <w:rFonts w:hint="eastAsia" w:ascii="Times New Roman" w:hAnsi="Times New Roman" w:eastAsia="方正仿宋_GB2312" w:cs="Times New Roman"/>
          <w:bCs/>
          <w:sz w:val="32"/>
          <w:szCs w:val="32"/>
        </w:rPr>
        <w:t>790303万元</w:t>
      </w:r>
      <w:r>
        <w:rPr>
          <w:rFonts w:hint="default" w:ascii="Times New Roman" w:hAnsi="Times New Roman" w:eastAsia="方正仿宋_GB2312" w:cs="Times New Roman"/>
          <w:bCs/>
          <w:sz w:val="32"/>
          <w:szCs w:val="32"/>
        </w:rPr>
        <w:t>，</w:t>
      </w:r>
      <w:r>
        <w:rPr>
          <w:rFonts w:hint="eastAsia" w:ascii="Times New Roman" w:hAnsi="Times New Roman" w:eastAsia="方正仿宋_GB2312" w:cs="Times New Roman"/>
          <w:bCs/>
          <w:sz w:val="32"/>
          <w:szCs w:val="32"/>
        </w:rPr>
        <w:t>其中</w:t>
      </w:r>
      <w:r>
        <w:rPr>
          <w:rFonts w:hint="default" w:ascii="Times New Roman" w:hAnsi="Times New Roman" w:eastAsia="方正仿宋_GB2312" w:cs="Times New Roman"/>
          <w:bCs/>
          <w:sz w:val="32"/>
          <w:szCs w:val="32"/>
        </w:rPr>
        <w:t>，基本</w:t>
      </w:r>
      <w:r>
        <w:rPr>
          <w:rFonts w:hint="eastAsia" w:ascii="Times New Roman" w:hAnsi="Times New Roman" w:eastAsia="方正仿宋_GB2312" w:cs="Times New Roman"/>
          <w:bCs/>
          <w:sz w:val="32"/>
          <w:szCs w:val="32"/>
        </w:rPr>
        <w:t>支出</w:t>
      </w:r>
      <w:r>
        <w:rPr>
          <w:rFonts w:hint="default" w:ascii="Times New Roman" w:hAnsi="Times New Roman" w:eastAsia="方正仿宋_GB2312" w:cs="Times New Roman"/>
          <w:bCs/>
          <w:sz w:val="32"/>
          <w:szCs w:val="32"/>
        </w:rPr>
        <w:t>预算数700</w:t>
      </w:r>
      <w:r>
        <w:rPr>
          <w:rFonts w:hint="eastAsia" w:ascii="Times New Roman" w:hAnsi="Times New Roman" w:eastAsia="方正仿宋_GB2312" w:cs="Times New Roman"/>
          <w:bCs/>
          <w:sz w:val="32"/>
          <w:szCs w:val="32"/>
          <w:lang w:val="en-US" w:eastAsia="zh-CN"/>
        </w:rPr>
        <w:t>.</w:t>
      </w:r>
      <w:r>
        <w:rPr>
          <w:rFonts w:hint="default" w:ascii="Times New Roman" w:hAnsi="Times New Roman" w:eastAsia="方正仿宋_GB2312" w:cs="Times New Roman"/>
          <w:bCs/>
          <w:sz w:val="32"/>
          <w:szCs w:val="32"/>
        </w:rPr>
        <w:t>439303万元，</w:t>
      </w:r>
      <w:r>
        <w:rPr>
          <w:rFonts w:hint="eastAsia" w:ascii="Times New Roman" w:hAnsi="Times New Roman" w:eastAsia="方正仿宋_GB2312" w:cs="Times New Roman"/>
          <w:bCs/>
          <w:sz w:val="32"/>
          <w:szCs w:val="32"/>
        </w:rPr>
        <w:t>项目支出预算数816</w:t>
      </w:r>
      <w:r>
        <w:rPr>
          <w:rFonts w:hint="eastAsia" w:ascii="Times New Roman" w:hAnsi="Times New Roman" w:eastAsia="方正仿宋_GB2312" w:cs="Times New Roman"/>
          <w:bCs/>
          <w:sz w:val="32"/>
          <w:szCs w:val="32"/>
          <w:lang w:val="en-US" w:eastAsia="zh-CN"/>
        </w:rPr>
        <w:t>.</w:t>
      </w:r>
      <w:r>
        <w:rPr>
          <w:rFonts w:hint="eastAsia" w:ascii="Times New Roman" w:hAnsi="Times New Roman" w:eastAsia="方正仿宋_GB2312" w:cs="Times New Roman"/>
          <w:bCs/>
          <w:sz w:val="32"/>
          <w:szCs w:val="32"/>
        </w:rPr>
        <w:t>351000</w:t>
      </w:r>
      <w:r>
        <w:rPr>
          <w:rFonts w:hint="default" w:ascii="Times New Roman" w:hAnsi="Times New Roman" w:eastAsia="方正仿宋_GB2312" w:cs="Times New Roman"/>
          <w:bCs/>
          <w:sz w:val="32"/>
          <w:szCs w:val="32"/>
        </w:rPr>
        <w:t>万元，其他支出</w:t>
      </w:r>
      <w:r>
        <w:rPr>
          <w:rFonts w:hint="eastAsia" w:ascii="Times New Roman" w:hAnsi="Times New Roman" w:eastAsia="方正仿宋_GB2312" w:cs="Times New Roman"/>
          <w:bCs/>
          <w:sz w:val="32"/>
          <w:szCs w:val="32"/>
        </w:rPr>
        <w:t>预算数</w:t>
      </w:r>
      <w:r>
        <w:rPr>
          <w:rFonts w:hint="eastAsia" w:ascii="Times New Roman" w:hAnsi="Times New Roman" w:eastAsia="方正仿宋_GB2312" w:cs="Times New Roman"/>
          <w:bCs/>
          <w:sz w:val="32"/>
          <w:szCs w:val="32"/>
          <w:lang w:val="en-US" w:eastAsia="zh-CN"/>
        </w:rPr>
        <w:t>0</w:t>
      </w:r>
      <w:r>
        <w:rPr>
          <w:rFonts w:hint="default" w:ascii="Times New Roman" w:hAnsi="Times New Roman" w:eastAsia="方正仿宋_GB2312" w:cs="Times New Roman"/>
          <w:bCs/>
          <w:sz w:val="32"/>
          <w:szCs w:val="32"/>
        </w:rPr>
        <w:t>万元</w:t>
      </w:r>
      <w:r>
        <w:rPr>
          <w:rFonts w:hint="eastAsia" w:ascii="Times New Roman" w:hAnsi="Times New Roman" w:eastAsia="方正仿宋_GB2312" w:cs="Times New Roman"/>
          <w:bCs/>
          <w:sz w:val="32"/>
          <w:szCs w:val="32"/>
        </w:rPr>
        <w:t>。</w:t>
      </w:r>
      <w:r>
        <w:rPr>
          <w:rFonts w:hint="default" w:ascii="Times New Roman" w:hAnsi="Times New Roman" w:eastAsia="方正仿宋_GB2312" w:cs="Times New Roman"/>
          <w:bCs/>
          <w:sz w:val="32"/>
          <w:szCs w:val="32"/>
        </w:rPr>
        <w:t>资金总体</w:t>
      </w:r>
      <w:r>
        <w:rPr>
          <w:rFonts w:hint="eastAsia" w:ascii="Times New Roman" w:hAnsi="Times New Roman" w:eastAsia="方正仿宋_GB2312" w:cs="Times New Roman"/>
          <w:bCs/>
          <w:sz w:val="32"/>
          <w:szCs w:val="32"/>
        </w:rPr>
        <w:t>支出1559</w:t>
      </w:r>
      <w:r>
        <w:rPr>
          <w:rFonts w:hint="eastAsia" w:ascii="Times New Roman" w:hAnsi="Times New Roman" w:eastAsia="方正仿宋_GB2312" w:cs="Times New Roman"/>
          <w:bCs/>
          <w:sz w:val="32"/>
          <w:szCs w:val="32"/>
          <w:lang w:val="en-US" w:eastAsia="zh-CN"/>
        </w:rPr>
        <w:t>.</w:t>
      </w:r>
      <w:r>
        <w:rPr>
          <w:rFonts w:hint="eastAsia" w:ascii="Times New Roman" w:hAnsi="Times New Roman" w:eastAsia="方正仿宋_GB2312" w:cs="Times New Roman"/>
          <w:bCs/>
          <w:sz w:val="32"/>
          <w:szCs w:val="32"/>
        </w:rPr>
        <w:t>927585</w:t>
      </w:r>
      <w:r>
        <w:rPr>
          <w:rFonts w:hint="default" w:ascii="Times New Roman" w:hAnsi="Times New Roman" w:eastAsia="方正仿宋_GB2312" w:cs="Times New Roman"/>
          <w:bCs/>
          <w:sz w:val="32"/>
          <w:szCs w:val="32"/>
        </w:rPr>
        <w:t>万元，其中，基本支出742</w:t>
      </w:r>
      <w:r>
        <w:rPr>
          <w:rFonts w:hint="eastAsia" w:ascii="Times New Roman" w:hAnsi="Times New Roman" w:eastAsia="方正仿宋_GB2312" w:cs="Times New Roman"/>
          <w:bCs/>
          <w:sz w:val="32"/>
          <w:szCs w:val="32"/>
          <w:lang w:val="en-US" w:eastAsia="zh-CN"/>
        </w:rPr>
        <w:t>.</w:t>
      </w:r>
      <w:r>
        <w:rPr>
          <w:rFonts w:hint="default" w:ascii="Times New Roman" w:hAnsi="Times New Roman" w:eastAsia="方正仿宋_GB2312" w:cs="Times New Roman"/>
          <w:bCs/>
          <w:sz w:val="32"/>
          <w:szCs w:val="32"/>
        </w:rPr>
        <w:t>603150万元，项目</w:t>
      </w:r>
      <w:r>
        <w:rPr>
          <w:rFonts w:hint="eastAsia" w:ascii="Times New Roman" w:hAnsi="Times New Roman" w:eastAsia="方正仿宋_GB2312" w:cs="Times New Roman"/>
          <w:bCs/>
          <w:sz w:val="32"/>
          <w:szCs w:val="32"/>
        </w:rPr>
        <w:t>支出817</w:t>
      </w:r>
      <w:r>
        <w:rPr>
          <w:rFonts w:hint="eastAsia" w:ascii="Times New Roman" w:hAnsi="Times New Roman" w:eastAsia="方正仿宋_GB2312" w:cs="Times New Roman"/>
          <w:bCs/>
          <w:sz w:val="32"/>
          <w:szCs w:val="32"/>
          <w:lang w:val="en-US" w:eastAsia="zh-CN"/>
        </w:rPr>
        <w:t>.</w:t>
      </w:r>
      <w:r>
        <w:rPr>
          <w:rFonts w:hint="eastAsia" w:ascii="Times New Roman" w:hAnsi="Times New Roman" w:eastAsia="方正仿宋_GB2312" w:cs="Times New Roman"/>
          <w:bCs/>
          <w:sz w:val="32"/>
          <w:szCs w:val="32"/>
        </w:rPr>
        <w:t>324435</w:t>
      </w:r>
      <w:r>
        <w:rPr>
          <w:rFonts w:hint="default" w:ascii="Times New Roman" w:hAnsi="Times New Roman" w:eastAsia="方正仿宋_GB2312" w:cs="Times New Roman"/>
          <w:bCs/>
          <w:sz w:val="32"/>
          <w:szCs w:val="32"/>
        </w:rPr>
        <w:t>万元，其他支出</w:t>
      </w:r>
      <w:r>
        <w:rPr>
          <w:rFonts w:hint="eastAsia" w:ascii="Times New Roman" w:hAnsi="Times New Roman" w:eastAsia="方正仿宋_GB2312" w:cs="Times New Roman"/>
          <w:bCs/>
          <w:sz w:val="32"/>
          <w:szCs w:val="32"/>
          <w:lang w:val="en-US" w:eastAsia="zh-CN"/>
        </w:rPr>
        <w:t>0</w:t>
      </w:r>
      <w:r>
        <w:rPr>
          <w:rFonts w:hint="default" w:ascii="Times New Roman" w:hAnsi="Times New Roman" w:eastAsia="方正仿宋_GB2312" w:cs="Times New Roman"/>
          <w:bCs/>
          <w:sz w:val="32"/>
          <w:szCs w:val="32"/>
        </w:rPr>
        <w:t>万元。</w:t>
      </w:r>
      <w:r>
        <w:rPr>
          <w:rFonts w:hint="eastAsia" w:ascii="Times New Roman" w:hAnsi="Times New Roman" w:eastAsia="方正仿宋_GB2312" w:cs="Times New Roman"/>
          <w:bCs/>
          <w:sz w:val="32"/>
          <w:szCs w:val="32"/>
        </w:rPr>
        <w:t>预算</w:t>
      </w:r>
      <w:r>
        <w:rPr>
          <w:rFonts w:hint="default" w:ascii="Times New Roman" w:hAnsi="Times New Roman" w:eastAsia="方正仿宋_GB2312" w:cs="Times New Roman"/>
          <w:bCs/>
          <w:sz w:val="32"/>
          <w:szCs w:val="32"/>
        </w:rPr>
        <w:t>执行率为</w:t>
      </w:r>
      <w:r>
        <w:rPr>
          <w:rFonts w:hint="eastAsia" w:ascii="Times New Roman" w:hAnsi="Times New Roman" w:eastAsia="方正仿宋_GB2312" w:cs="Times New Roman"/>
          <w:bCs/>
          <w:sz w:val="32"/>
          <w:szCs w:val="32"/>
          <w:lang w:val="en-US" w:eastAsia="zh-CN"/>
        </w:rPr>
        <w:t>100%</w:t>
      </w:r>
      <w:r>
        <w:rPr>
          <w:rFonts w:hint="eastAsia" w:ascii="Times New Roman" w:hAnsi="Times New Roman" w:eastAsia="方正仿宋_GB2312" w:cs="Times New Roman"/>
          <w:bCs/>
          <w:sz w:val="32"/>
          <w:szCs w:val="32"/>
        </w:rPr>
        <w:t>。</w:t>
      </w:r>
    </w:p>
    <w:p w14:paraId="4C6169F4">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14:paraId="4535FA1E">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ascii="楷体_GB2312" w:eastAsia="楷体_GB2312"/>
          <w:sz w:val="32"/>
          <w:szCs w:val="32"/>
        </w:rPr>
      </w:pPr>
      <w:r>
        <w:rPr>
          <w:rFonts w:hint="eastAsia" w:ascii="楷体_GB2312" w:eastAsia="楷体_GB2312"/>
          <w:sz w:val="32"/>
          <w:szCs w:val="32"/>
        </w:rPr>
        <w:t>（一）产出完成情况分析</w:t>
      </w:r>
    </w:p>
    <w:p w14:paraId="765BCDAE">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1.产出数量</w:t>
      </w:r>
    </w:p>
    <w:p w14:paraId="64B69BE2">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default" w:ascii="Times New Roman" w:hAnsi="Times New Roman" w:eastAsia="方正仿宋_GB2312" w:cs="Times New Roman"/>
          <w:b w:val="0"/>
          <w:bCs/>
          <w:kern w:val="2"/>
          <w:sz w:val="32"/>
          <w:szCs w:val="32"/>
          <w:lang w:val="en-US" w:eastAsia="zh-CN" w:bidi="ar-SA"/>
        </w:rPr>
        <w:t>全年接待全国妇联、市妇联国际交流及全国示范班现场教学10次</w:t>
      </w:r>
      <w:r>
        <w:rPr>
          <w:rFonts w:hint="eastAsia" w:ascii="Times New Roman" w:hAnsi="Times New Roman" w:eastAsia="方正仿宋_GB2312" w:cs="Times New Roman"/>
          <w:b w:val="0"/>
          <w:bCs/>
          <w:kern w:val="2"/>
          <w:sz w:val="32"/>
          <w:szCs w:val="32"/>
          <w:lang w:val="en-US" w:eastAsia="zh-CN" w:bidi="ar-SA"/>
        </w:rPr>
        <w:t>；开展宣讲活动60余场，覆盖6万余人；联合区教委组织全区749名女学生参与到全国科技女性培养项目；培育新增5家“首都巾帼家政”企业；向对口支援地区捐赠爱心物资55万余元；寻找培育最美家庭135户，14户家庭获评首都最美家庭，1户家庭获评首都书香家庭；指导家庭教育志愿者在社区家长学校开展服务172场；统筹慰问单亲困难母亲和女性低收入家庭2616户；联动街乡开展寒暑期儿童关爱服务活动2000余场，服务儿童5万人次；新建“三新”领域妇女组织125个；组织区级执委领办服务项目40个；开展“朝娃说”儿童观察团项目，千余名儿童开展调研议事活动230次。</w:t>
      </w:r>
    </w:p>
    <w:p w14:paraId="63E973B0">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2.产出质量</w:t>
      </w:r>
    </w:p>
    <w:p w14:paraId="4D975475">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default"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朝阳区妇联系统开展活动、培训、项目契合妇女儿童的需求，质量较高；在广大妇女和家庭中凝聚巾帼正能量，对妇女儿童有引领作用。指标值“优”。</w:t>
      </w:r>
    </w:p>
    <w:p w14:paraId="45C26870">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3.产出进度</w:t>
      </w:r>
    </w:p>
    <w:p w14:paraId="054FE9C4">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朝阳区妇联开展工作进度与时效均符合要求，每个季度完成或者超过25%进度。</w:t>
      </w:r>
    </w:p>
    <w:p w14:paraId="7C434E82">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 xml:space="preserve">4.产出成本 </w:t>
      </w:r>
    </w:p>
    <w:p w14:paraId="7A30A449">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 xml:space="preserve">朝阳区妇联开展活动，培训、慰问，拍摄制作宣传视频等，成本均符合市场水平或低于市场水平。                               </w:t>
      </w:r>
    </w:p>
    <w:p w14:paraId="2BABB1D7">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（二）效果实现情况分析</w:t>
      </w:r>
    </w:p>
    <w:p w14:paraId="5CE4FA3B">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1.经济效益</w:t>
      </w:r>
    </w:p>
    <w:p w14:paraId="07CCD299">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朝阳区妇联开展的培训活动提升妇女素质，促进妇女创业就业。</w:t>
      </w:r>
    </w:p>
    <w:p w14:paraId="6FD67765">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2.社会效益</w:t>
      </w:r>
    </w:p>
    <w:p w14:paraId="044AF189">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积极发挥优秀女性典型示范引领作用，在广大妇女和家庭中凝聚巾帼正能量；在全社会营造向上向善的文明家庭社会氛围。</w:t>
      </w:r>
    </w:p>
    <w:p w14:paraId="4B54E7F3">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3.环境效益</w:t>
      </w:r>
    </w:p>
    <w:p w14:paraId="64539FAC">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朝阳区妇联通过系列活动的开展，提升广大家庭和妇女群众环境保护意识。</w:t>
      </w:r>
    </w:p>
    <w:p w14:paraId="337B6DB1">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4.可持续性影响</w:t>
      </w:r>
    </w:p>
    <w:p w14:paraId="4522AAF8">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通过各项工作的开展，进一步筑牢朝阳妇女高举旗帜、紧跟党走的思想根基，团结动员广大妇女为推动新时代朝阳高质量发展贡献了巾帼力量。</w:t>
      </w:r>
    </w:p>
    <w:p w14:paraId="11854E24">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5.服务对象满意度</w:t>
      </w:r>
    </w:p>
    <w:p w14:paraId="17EFB1A8">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服务对象满意度均在95%以上。</w:t>
      </w:r>
    </w:p>
    <w:p w14:paraId="6D611D7C">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14:paraId="2FF23A7C">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ascii="楷体_GB2312" w:eastAsia="楷体_GB2312"/>
          <w:sz w:val="32"/>
          <w:szCs w:val="32"/>
        </w:rPr>
      </w:pPr>
      <w:r>
        <w:rPr>
          <w:rFonts w:hint="eastAsia" w:ascii="楷体_GB2312" w:eastAsia="楷体_GB2312"/>
          <w:sz w:val="32"/>
          <w:szCs w:val="32"/>
        </w:rPr>
        <w:t>（一）财务管理</w:t>
      </w:r>
    </w:p>
    <w:p w14:paraId="308F4F19">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1.财务管理制度健全性</w:t>
      </w:r>
    </w:p>
    <w:p w14:paraId="67A89B68">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朝阳区妇联财务制度体系完备。</w:t>
      </w:r>
    </w:p>
    <w:p w14:paraId="6AC79B15">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2.资金使用合规性和安全性</w:t>
      </w:r>
    </w:p>
    <w:p w14:paraId="27D6B399">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朝阳区资金做到专款专用，支出用途合规，使用资金安全，无违法违规的情况，并主动对资金加强管理和监督，开展绩效评估。</w:t>
      </w:r>
    </w:p>
    <w:p w14:paraId="68CC7EE0">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3.会计基础信息完善性</w:t>
      </w:r>
    </w:p>
    <w:p w14:paraId="292E1036">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朝阳区妇联会计基础信息完整，严格按照《政府会计制度》核算收入和支出。</w:t>
      </w:r>
    </w:p>
    <w:p w14:paraId="18C5E370">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（三）资产管理</w:t>
      </w:r>
    </w:p>
    <w:p w14:paraId="6483C8B8">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default"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朝阳区妇联资产管理规范，及时上报资产月报、年报，固定资产盘点，确保帐实相符，帐表一致。</w:t>
      </w:r>
    </w:p>
    <w:p w14:paraId="5400C4F8">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（三）绩效管理</w:t>
      </w:r>
    </w:p>
    <w:p w14:paraId="268C79F1">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朝阳区妇联主动加强绩效管理，对开展项目进行绩效评估。</w:t>
      </w:r>
    </w:p>
    <w:p w14:paraId="44D86215">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（四）结转结余率</w:t>
      </w:r>
    </w:p>
    <w:p w14:paraId="058B5273">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default"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 xml:space="preserve"> 朝阳区妇联结转结余率是0。</w:t>
      </w:r>
    </w:p>
    <w:p w14:paraId="3C44FBC8">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（五）部门预决算差异率</w:t>
      </w:r>
    </w:p>
    <w:p w14:paraId="0DF58F07">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朝阳区妇联预决算差异率为2.8%，差异率符合财政要求，决算已通过区财政局审核。</w:t>
      </w:r>
    </w:p>
    <w:p w14:paraId="3B17CE74">
      <w:pPr>
        <w:keepNext w:val="0"/>
        <w:keepLines w:val="0"/>
        <w:pageBreakBefore w:val="0"/>
        <w:widowControl w:val="0"/>
        <w:numPr>
          <w:ilvl w:val="0"/>
          <w:numId w:val="0"/>
        </w:numPr>
        <w:kinsoku/>
        <w:wordWrap/>
        <w:overflowPunct/>
        <w:topLinePunct w:val="0"/>
        <w:autoSpaceDE/>
        <w:autoSpaceDN/>
        <w:bidi w:val="0"/>
        <w:adjustRightInd/>
        <w:spacing w:line="560" w:lineRule="exact"/>
        <w:ind w:left="105" w:leftChars="50" w:firstLine="480" w:firstLineChars="150"/>
        <w:textAlignment w:val="auto"/>
        <w:rPr>
          <w:rFonts w:ascii="黑体" w:hAnsi="黑体" w:eastAsia="黑体"/>
          <w:sz w:val="32"/>
          <w:szCs w:val="32"/>
        </w:rPr>
      </w:pPr>
      <w:r>
        <w:rPr>
          <w:rFonts w:hint="eastAsia" w:ascii="黑体" w:hAnsi="黑体" w:eastAsia="黑体"/>
          <w:sz w:val="32"/>
          <w:szCs w:val="32"/>
        </w:rPr>
        <w:t>五、总体</w:t>
      </w:r>
      <w:r>
        <w:rPr>
          <w:rFonts w:ascii="黑体" w:hAnsi="黑体" w:eastAsia="黑体"/>
          <w:sz w:val="32"/>
          <w:szCs w:val="32"/>
        </w:rPr>
        <w:t>评价结论</w:t>
      </w:r>
    </w:p>
    <w:p w14:paraId="51B729F1">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（一）评价得分情况</w:t>
      </w:r>
    </w:p>
    <w:p w14:paraId="5C59F596">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pPr>
      <w:r>
        <w:rPr>
          <w:rFonts w:hint="eastAsia" w:ascii="Times New Roman" w:hAnsi="Times New Roman" w:eastAsia="方正仿宋_GB2312" w:cs="Times New Roman"/>
          <w:b w:val="0"/>
          <w:bCs/>
          <w:kern w:val="2"/>
          <w:sz w:val="32"/>
          <w:szCs w:val="32"/>
          <w:lang w:val="en-US" w:eastAsia="zh-CN" w:bidi="ar-SA"/>
        </w:rPr>
        <w:t>朝阳区妇联整体完成了年初设定的绩效目标，得分大部分在100分，与实际情况一致。</w:t>
      </w:r>
    </w:p>
    <w:p w14:paraId="22CEC461">
      <w:pPr>
        <w:keepNext w:val="0"/>
        <w:keepLines w:val="0"/>
        <w:pageBreakBefore w:val="0"/>
        <w:widowControl w:val="0"/>
        <w:kinsoku/>
        <w:wordWrap/>
        <w:overflowPunct/>
        <w:topLinePunct w:val="0"/>
        <w:autoSpaceDE/>
        <w:autoSpaceDN/>
        <w:bidi w:val="0"/>
        <w:adjustRightInd/>
        <w:spacing w:line="560" w:lineRule="exact"/>
        <w:ind w:left="105" w:leftChars="50" w:firstLine="480" w:firstLineChars="15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（二）存在的问题及原因分析</w:t>
      </w:r>
    </w:p>
    <w:p w14:paraId="7338E449">
      <w:pPr>
        <w:pStyle w:val="2"/>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方正仿宋_GB2312" w:cs="Times New Roman"/>
          <w:b w:val="0"/>
          <w:bCs/>
          <w:kern w:val="2"/>
          <w:sz w:val="32"/>
          <w:szCs w:val="32"/>
          <w:lang w:val="en-US" w:eastAsia="zh-CN" w:bidi="ar-SA"/>
        </w:rPr>
      </w:pPr>
      <w:r>
        <w:rPr>
          <w:rFonts w:hint="eastAsia" w:ascii="Times New Roman" w:hAnsi="Times New Roman" w:eastAsia="方正仿宋_GB2312" w:cs="Times New Roman"/>
          <w:b w:val="0"/>
          <w:bCs/>
          <w:kern w:val="2"/>
          <w:sz w:val="32"/>
          <w:szCs w:val="32"/>
          <w:lang w:val="en-US" w:eastAsia="zh-CN" w:bidi="ar-SA"/>
        </w:rPr>
        <w:t>无。</w:t>
      </w:r>
    </w:p>
    <w:p w14:paraId="62A1A21E">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lang w:val="en-US" w:eastAsia="zh-CN" w:bidi="ar-SA"/>
        </w:rPr>
        <w:t>六、</w:t>
      </w:r>
      <w:r>
        <w:rPr>
          <w:rFonts w:hint="eastAsia" w:ascii="黑体" w:hAnsi="黑体" w:eastAsia="黑体" w:cs="宋体"/>
          <w:color w:val="000000"/>
          <w:kern w:val="0"/>
          <w:sz w:val="32"/>
          <w:szCs w:val="32"/>
        </w:rPr>
        <w:t>措施建议</w:t>
      </w:r>
    </w:p>
    <w:p w14:paraId="3BCE2ACB">
      <w:pPr>
        <w:keepNext w:val="0"/>
        <w:keepLines w:val="0"/>
        <w:pageBreakBefore w:val="0"/>
        <w:widowControl w:val="0"/>
        <w:numPr>
          <w:ilvl w:val="0"/>
          <w:numId w:val="0"/>
        </w:numPr>
        <w:kinsoku/>
        <w:wordWrap/>
        <w:overflowPunct/>
        <w:topLinePunct w:val="0"/>
        <w:autoSpaceDE/>
        <w:autoSpaceDN/>
        <w:bidi w:val="0"/>
        <w:adjustRightInd/>
        <w:spacing w:line="560" w:lineRule="exact"/>
        <w:ind w:left="105" w:leftChars="50" w:firstLine="480" w:firstLineChars="150"/>
        <w:textAlignment w:val="auto"/>
        <w:rPr>
          <w:rFonts w:hint="default" w:ascii="Times New Roman" w:hAnsi="Times New Roman" w:eastAsia="方正仿宋_GB2312" w:cs="Times New Roman"/>
          <w:bCs/>
          <w:sz w:val="32"/>
          <w:szCs w:val="32"/>
          <w:lang w:val="en-US" w:eastAsia="zh-CN"/>
        </w:rPr>
      </w:pPr>
      <w:r>
        <w:rPr>
          <w:rFonts w:hint="eastAsia" w:ascii="Times New Roman" w:hAnsi="Times New Roman" w:eastAsia="方正仿宋_GB2312" w:cs="Times New Roman"/>
          <w:bCs/>
          <w:sz w:val="32"/>
          <w:szCs w:val="32"/>
          <w:lang w:val="en-US" w:eastAsia="zh-CN"/>
        </w:rPr>
        <w:t>无。</w:t>
      </w:r>
    </w:p>
    <w:p w14:paraId="1A34151C">
      <w:pPr>
        <w:keepNext w:val="0"/>
        <w:keepLines w:val="0"/>
        <w:pageBreakBefore w:val="0"/>
        <w:widowControl w:val="0"/>
        <w:kinsoku/>
        <w:wordWrap/>
        <w:overflowPunct/>
        <w:topLinePunct w:val="0"/>
        <w:autoSpaceDE/>
        <w:autoSpaceDN/>
        <w:bidi w:val="0"/>
        <w:adjustRightInd/>
        <w:spacing w:line="560" w:lineRule="exact"/>
        <w:textAlignment w:val="auto"/>
      </w:pPr>
      <w:r>
        <w:rPr>
          <w:rFonts w:hint="eastAsia" w:ascii="方正小标宋简体" w:eastAsia="方正小标宋简体"/>
          <w:sz w:val="36"/>
          <w:szCs w:val="36"/>
        </w:rPr>
        <w:t xml:space="preserve"> </w:t>
      </w:r>
    </w:p>
    <w:p w14:paraId="13C39BDC">
      <w:pPr>
        <w:keepNext w:val="0"/>
        <w:keepLines w:val="0"/>
        <w:pageBreakBefore w:val="0"/>
        <w:widowControl w:val="0"/>
        <w:kinsoku/>
        <w:wordWrap/>
        <w:overflowPunct/>
        <w:topLinePunct w:val="0"/>
        <w:autoSpaceDE/>
        <w:autoSpaceDN/>
        <w:bidi w:val="0"/>
        <w:adjustRightInd/>
        <w:spacing w:line="560" w:lineRule="exact"/>
        <w:textAlignment w:val="auto"/>
      </w:pPr>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4E84559-4BBF-48B9-BBBF-3BFFA78BE91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0010101010101"/>
    <w:charset w:val="86"/>
    <w:family w:val="script"/>
    <w:pitch w:val="default"/>
    <w:sig w:usb0="00000001" w:usb1="080E0000" w:usb2="00000000" w:usb3="00000000" w:csb0="00040000" w:csb1="00000000"/>
    <w:embedRegular r:id="rId2" w:fontKey="{B0476A5A-B167-4E37-BD72-2B1CA3876700}"/>
  </w:font>
  <w:font w:name="仿宋_GB2312">
    <w:panose1 w:val="02010609030101010101"/>
    <w:charset w:val="86"/>
    <w:family w:val="swiss"/>
    <w:pitch w:val="default"/>
    <w:sig w:usb0="00000001" w:usb1="080E0000" w:usb2="00000000" w:usb3="00000000" w:csb0="00040000" w:csb1="00000000"/>
    <w:embedRegular r:id="rId3" w:fontKey="{AB417848-405C-4246-8CD3-BEC01F7434BB}"/>
  </w:font>
  <w:font w:name="方正仿宋_GB2312">
    <w:panose1 w:val="02000000000000000000"/>
    <w:charset w:val="86"/>
    <w:family w:val="auto"/>
    <w:pitch w:val="default"/>
    <w:sig w:usb0="A00002BF" w:usb1="184F6CFA" w:usb2="00000012" w:usb3="00000000" w:csb0="00040001" w:csb1="00000000"/>
    <w:embedRegular r:id="rId4" w:fontKey="{55D5BE92-D665-42BA-A4CF-67EB6A5C578F}"/>
  </w:font>
  <w:font w:name="楷体_GB2312">
    <w:panose1 w:val="02010609030101010101"/>
    <w:charset w:val="86"/>
    <w:family w:val="swiss"/>
    <w:pitch w:val="default"/>
    <w:sig w:usb0="00000001" w:usb1="080E0000" w:usb2="00000000" w:usb3="00000000" w:csb0="00040000" w:csb1="00000000"/>
    <w:embedRegular r:id="rId5" w:fontKey="{1C38DC2B-DE83-4B4C-B4A8-D5B363705E6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EC7D8">
    <w:pPr>
      <w:pStyle w:val="2"/>
      <w:jc w:val="right"/>
      <w:rPr>
        <w:rFonts w:ascii="宋体" w:hAnsi="宋体"/>
        <w:sz w:val="28"/>
        <w:szCs w:val="28"/>
      </w:rPr>
    </w:pPr>
  </w:p>
  <w:p w14:paraId="75CE0B1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2993A">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1D39DF"/>
    <w:rsid w:val="001C7834"/>
    <w:rsid w:val="0057202C"/>
    <w:rsid w:val="005E3946"/>
    <w:rsid w:val="00B03B70"/>
    <w:rsid w:val="00CF07EE"/>
    <w:rsid w:val="00E617B2"/>
    <w:rsid w:val="00F42C33"/>
    <w:rsid w:val="076569E8"/>
    <w:rsid w:val="09ED2510"/>
    <w:rsid w:val="0AF62277"/>
    <w:rsid w:val="0F5D017B"/>
    <w:rsid w:val="1A3A7BAD"/>
    <w:rsid w:val="1CFA34F8"/>
    <w:rsid w:val="255D778F"/>
    <w:rsid w:val="2BC547E1"/>
    <w:rsid w:val="2F321339"/>
    <w:rsid w:val="3DFA317F"/>
    <w:rsid w:val="493646F6"/>
    <w:rsid w:val="5B1D39DF"/>
    <w:rsid w:val="5E423AFE"/>
    <w:rsid w:val="62A3501A"/>
    <w:rsid w:val="69C91FDD"/>
    <w:rsid w:val="7F941D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20"/>
    </w:rPr>
  </w:style>
  <w:style w:type="paragraph" w:styleId="3">
    <w:name w:val="Body Text"/>
    <w:basedOn w:val="1"/>
    <w:next w:val="1"/>
    <w:qFormat/>
    <w:uiPriority w:val="0"/>
    <w:rPr>
      <w:rFonts w:hint="eastAsia" w:ascii="宋体" w:eastAsia="宋体"/>
      <w:b/>
      <w:bCs/>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Title"/>
    <w:qFormat/>
    <w:uiPriority w:val="0"/>
    <w:pPr>
      <w:spacing w:after="0" w:line="0" w:lineRule="atLeast"/>
      <w:jc w:val="center"/>
    </w:pPr>
    <w:rPr>
      <w:rFonts w:ascii="Arial" w:hAnsi="Arial" w:eastAsia="黑体" w:cs="Times New Roman"/>
      <w:kern w:val="0"/>
      <w:sz w:val="52"/>
      <w:szCs w:val="20"/>
      <w:lang w:val="en-US" w:eastAsia="zh-CN" w:bidi="ar-SA"/>
    </w:rPr>
  </w:style>
  <w:style w:type="character" w:customStyle="1" w:styleId="8">
    <w:name w:val="页眉 字符"/>
    <w:basedOn w:val="7"/>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2253</Words>
  <Characters>2369</Characters>
  <Lines>3</Lines>
  <Paragraphs>1</Paragraphs>
  <TotalTime>10</TotalTime>
  <ScaleCrop>false</ScaleCrop>
  <LinksUpToDate>false</LinksUpToDate>
  <CharactersWithSpaces>2411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2024-01-18T03:00:00Z</dcterms:created>
  <dc:creator>Administrator</dc:creator>
  <cp:lastModifiedBy>关聪聪</cp:lastModifiedBy>
  <cp:lastPrinted>2025-01-16T06:24:00Z</cp:lastPrinted>
  <dcterms:modified xsi:type="dcterms:W3CDTF">2025-09-05T08:47:18Z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eyJoZGlkIjoiNzIyNzZmNGE5MjE0NTg3MTFiNzFmMzUyYmRjYzQ1NzYiLCJ1c2VySWQiOiI5NTg1OTI5MTMifQ==</vt:lpwstr>
  </property>
  <property fmtid="{D5CDD505-2E9C-101B-9397-08002B2CF9AE}" pid="4" name="ICV">
    <vt:lpwstr>56BB6BD3AFE540CF8138FE3EC164405C_12</vt:lpwstr>
  </property>
</Properties>
</file>